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1755E" w14:textId="77777777" w:rsidR="004151B3" w:rsidRDefault="004151B3"/>
    <w:p w14:paraId="74FFC635" w14:textId="77777777" w:rsidR="00262892" w:rsidRPr="008E5FA4" w:rsidRDefault="00262892" w:rsidP="00262892">
      <w:pPr>
        <w:spacing w:after="16" w:line="232" w:lineRule="auto"/>
        <w:jc w:val="both"/>
        <w:rPr>
          <w:rFonts w:asciiTheme="majorHAnsi" w:hAnsiTheme="majorHAnsi"/>
          <w:b/>
          <w:bCs/>
        </w:rPr>
      </w:pPr>
      <w:r w:rsidRPr="008E5FA4">
        <w:rPr>
          <w:rFonts w:asciiTheme="majorHAnsi" w:hAnsiTheme="majorHAnsi"/>
          <w:b/>
          <w:bCs/>
        </w:rPr>
        <w:t>„Zakup i dostawa macierzy dyskowej oraz UPS wraz z dodatkowym modułem bateryjnym dla Gminy Osiek Jasielski w ramach realizacji programu pn.</w:t>
      </w:r>
      <w:r>
        <w:rPr>
          <w:rFonts w:asciiTheme="majorHAnsi" w:hAnsiTheme="majorHAnsi"/>
          <w:b/>
          <w:bCs/>
        </w:rPr>
        <w:t>:</w:t>
      </w:r>
      <w:r w:rsidRPr="008E5FA4">
        <w:rPr>
          <w:rFonts w:asciiTheme="majorHAnsi" w:hAnsiTheme="majorHAnsi"/>
          <w:b/>
          <w:bCs/>
        </w:rPr>
        <w:t xml:space="preserve"> „Cyberbezpieczny Samorząd” w ramach Funduszu Europejskiego na Rozwój Cyfrowy 2021-2027 (FERC)” </w:t>
      </w:r>
    </w:p>
    <w:p w14:paraId="1363D365" w14:textId="77777777" w:rsidR="00262892" w:rsidRDefault="00262892" w:rsidP="00262892"/>
    <w:p w14:paraId="77B19225" w14:textId="77777777" w:rsidR="00262892" w:rsidRDefault="00262892" w:rsidP="00262892">
      <w:pPr>
        <w:jc w:val="center"/>
        <w:rPr>
          <w:rFonts w:ascii="Arial Black" w:hAnsi="Arial Black"/>
          <w:b/>
          <w:bCs/>
        </w:rPr>
      </w:pPr>
      <w:r w:rsidRPr="00347751">
        <w:rPr>
          <w:rFonts w:ascii="Arial Black" w:hAnsi="Arial Black"/>
          <w:b/>
          <w:bCs/>
        </w:rPr>
        <w:t>OPIS PRZEDMIOTU ZAMÓWIENIA</w:t>
      </w:r>
    </w:p>
    <w:p w14:paraId="0C725BA3" w14:textId="77777777" w:rsidR="00262892" w:rsidRPr="00262892" w:rsidRDefault="00262892" w:rsidP="002628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rPr>
          <w:rFonts w:ascii="Times New Roman" w:hAnsi="Times New Roman" w:cs="Times New Roman"/>
          <w:b/>
          <w:bCs/>
        </w:rPr>
      </w:pPr>
      <w:r w:rsidRPr="00262892">
        <w:rPr>
          <w:rFonts w:ascii="Times New Roman" w:hAnsi="Times New Roman" w:cs="Times New Roman"/>
          <w:b/>
          <w:bCs/>
        </w:rPr>
        <w:t>Część 1 - Zakup i dostawa Macierzy dyskowej</w:t>
      </w:r>
    </w:p>
    <w:p w14:paraId="56911B2C" w14:textId="77777777" w:rsidR="00262892" w:rsidRPr="00262892" w:rsidRDefault="0026289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83"/>
        <w:gridCol w:w="7579"/>
      </w:tblGrid>
      <w:tr w:rsidR="00262892" w:rsidRPr="00262892" w14:paraId="2610E0A8" w14:textId="77777777" w:rsidTr="00262892">
        <w:tc>
          <w:tcPr>
            <w:tcW w:w="1129" w:type="dxa"/>
            <w:shd w:val="clear" w:color="auto" w:fill="95DCF7" w:themeFill="accent4" w:themeFillTint="66"/>
          </w:tcPr>
          <w:p w14:paraId="5901E5E6" w14:textId="09F69A18" w:rsidR="00262892" w:rsidRPr="00262892" w:rsidRDefault="00262892" w:rsidP="00262892">
            <w:pPr>
              <w:jc w:val="center"/>
              <w:rPr>
                <w:rFonts w:ascii="Times New Roman" w:hAnsi="Times New Roman" w:cs="Times New Roman"/>
              </w:rPr>
            </w:pPr>
            <w:r w:rsidRPr="00262892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7933" w:type="dxa"/>
            <w:shd w:val="clear" w:color="auto" w:fill="95DCF7" w:themeFill="accent4" w:themeFillTint="66"/>
          </w:tcPr>
          <w:p w14:paraId="38DD8A56" w14:textId="2487BC08" w:rsidR="00262892" w:rsidRPr="00262892" w:rsidRDefault="00262892" w:rsidP="00262892">
            <w:pPr>
              <w:jc w:val="center"/>
              <w:rPr>
                <w:rFonts w:ascii="Times New Roman" w:hAnsi="Times New Roman" w:cs="Times New Roman"/>
              </w:rPr>
            </w:pPr>
            <w:r w:rsidRPr="00262892">
              <w:rPr>
                <w:rFonts w:ascii="Times New Roman" w:hAnsi="Times New Roman" w:cs="Times New Roman"/>
              </w:rPr>
              <w:t>Minimalne wymagania</w:t>
            </w:r>
          </w:p>
        </w:tc>
      </w:tr>
      <w:tr w:rsidR="00262892" w:rsidRPr="00262892" w14:paraId="625B936B" w14:textId="77777777" w:rsidTr="00262892">
        <w:tc>
          <w:tcPr>
            <w:tcW w:w="1129" w:type="dxa"/>
          </w:tcPr>
          <w:p w14:paraId="70875795" w14:textId="03500966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 obudowy</w:t>
            </w:r>
          </w:p>
        </w:tc>
        <w:tc>
          <w:tcPr>
            <w:tcW w:w="7933" w:type="dxa"/>
          </w:tcPr>
          <w:p w14:paraId="1337E512" w14:textId="0911D93E" w:rsidR="00262892" w:rsidRPr="00FB059C" w:rsidRDefault="00262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być przystosowana do montażu w szafie rack 19”</w:t>
            </w:r>
          </w:p>
        </w:tc>
      </w:tr>
      <w:tr w:rsidR="00262892" w:rsidRPr="00262892" w14:paraId="59EF4505" w14:textId="77777777" w:rsidTr="00262892">
        <w:tc>
          <w:tcPr>
            <w:tcW w:w="1129" w:type="dxa"/>
          </w:tcPr>
          <w:p w14:paraId="6E334C55" w14:textId="7BA81048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Przestrzeń dyskowa</w:t>
            </w:r>
          </w:p>
        </w:tc>
        <w:tc>
          <w:tcPr>
            <w:tcW w:w="7933" w:type="dxa"/>
          </w:tcPr>
          <w:p w14:paraId="41043843" w14:textId="574AB1AD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być wyposażona w minimum 18 dysków 12G SAS 10K 2,5” o pojemności 2.4 TB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45F4506D" w14:textId="77777777" w:rsidTr="00262892">
        <w:tc>
          <w:tcPr>
            <w:tcW w:w="1129" w:type="dxa"/>
          </w:tcPr>
          <w:p w14:paraId="4B37B31F" w14:textId="20873A6F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rozbudowy</w:t>
            </w:r>
          </w:p>
        </w:tc>
        <w:tc>
          <w:tcPr>
            <w:tcW w:w="7933" w:type="dxa"/>
          </w:tcPr>
          <w:p w14:paraId="32DF9217" w14:textId="678F0D77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rozbudowę (bez wymiany kontrolerów macierzy), do co najmniej 240 dysków SFF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7C8BDAF6" w14:textId="77777777" w:rsidTr="00262892">
        <w:tc>
          <w:tcPr>
            <w:tcW w:w="1129" w:type="dxa"/>
          </w:tcPr>
          <w:p w14:paraId="48BE37CB" w14:textId="6052D473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Obsługa dysków</w:t>
            </w:r>
          </w:p>
        </w:tc>
        <w:tc>
          <w:tcPr>
            <w:tcW w:w="7933" w:type="dxa"/>
          </w:tcPr>
          <w:p w14:paraId="446F4A8D" w14:textId="76048357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obsługiwać dyski SSD, SAS i NL SAS. Macierz musi obsługiwać dyski 2,5” jak również 3,5”. Komunikacja z dyskami 12Gb SAS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217A06FB" w14:textId="77777777" w:rsidTr="00262892">
        <w:tc>
          <w:tcPr>
            <w:tcW w:w="1129" w:type="dxa"/>
          </w:tcPr>
          <w:p w14:paraId="1C5C041C" w14:textId="5FB7027D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Sposób zabezpieczenia danych</w:t>
            </w:r>
          </w:p>
        </w:tc>
        <w:tc>
          <w:tcPr>
            <w:tcW w:w="7933" w:type="dxa"/>
          </w:tcPr>
          <w:p w14:paraId="111659A7" w14:textId="262F9D23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obsługiwać mechanizmy RAID zgodne z RAID1, RAID10, RAID5, RAID6, realizowane sprzętowo za pomocą dedykowanego układu, z możliwością dowolnej ich kombinacji w obrębie oferowanej macierzy i z wykorzystaniem wszystkich dysków twardych (tzw. wide-striping). Macierz musi umożliwiać utworzenie pojedynczej grupy RAID zabezpieczonej podwójną parzystością stworzonej ze 128 dysków. Konfiguracja takiej grupy RAID musi umożliwiać zmianę rozmiaru takiej grupy poprzez dodawanie i odejmowanie pojedynczych dysków w trybie online bez konieczności przerywania dostępu do danych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29654939" w14:textId="77777777" w:rsidTr="00262892">
        <w:tc>
          <w:tcPr>
            <w:tcW w:w="1129" w:type="dxa"/>
          </w:tcPr>
          <w:p w14:paraId="616A7E35" w14:textId="41F7E048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Tryb pracy kontrolerów macierzowych</w:t>
            </w:r>
          </w:p>
        </w:tc>
        <w:tc>
          <w:tcPr>
            <w:tcW w:w="7933" w:type="dxa"/>
          </w:tcPr>
          <w:p w14:paraId="4D78ABD8" w14:textId="0BAC1D5D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posiadać minimum 2 kontrolery macierzowe pracujące w trybie active-active i udostępniające jednocześnie dane blokowe w sieci iSCSI 10Gb. Kontrolery muszą komunikować się między sobą bez stosowania dodatkowych przełączników lub koncentratorów LAN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0F6FC207" w14:textId="77777777" w:rsidTr="00262892">
        <w:tc>
          <w:tcPr>
            <w:tcW w:w="1129" w:type="dxa"/>
          </w:tcPr>
          <w:p w14:paraId="2DB6DBB0" w14:textId="31FBD04A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Pamięć cache</w:t>
            </w:r>
          </w:p>
        </w:tc>
        <w:tc>
          <w:tcPr>
            <w:tcW w:w="7933" w:type="dxa"/>
          </w:tcPr>
          <w:p w14:paraId="5B16A975" w14:textId="64EF1D80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Każdy kontroler macierzowy musi być wyposażony w minimum 24GB pamięci Cache, 48 GB sumarycznie w macierzy. Pamięć cache musi być zbudowana w oparciu o wydajną pamięć typu RAM. Pamięć zapisu musi być mirrorowana (kopie lustrzane) pomiędzy kontrolerami dyskowymi. Dane niezapisane na dyskach (np. zawartość pamięci kontrolera) muszą zostać zabezpieczone w przypadku awarii zasilania za pomocą podtrzymania bateryjnego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7A76A1EB" w14:textId="77777777" w:rsidTr="00262892">
        <w:tc>
          <w:tcPr>
            <w:tcW w:w="1129" w:type="dxa"/>
          </w:tcPr>
          <w:p w14:paraId="4D7335D2" w14:textId="432E96B7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Rozbudowa pamięci cache</w:t>
            </w:r>
          </w:p>
        </w:tc>
        <w:tc>
          <w:tcPr>
            <w:tcW w:w="7933" w:type="dxa"/>
          </w:tcPr>
          <w:p w14:paraId="57E4AABB" w14:textId="444B917D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zwiększenie pojemności pamięci cache dla odczytów do minimum 8 TB z wykorzystaniem dysków SSD lub kart pamięci flash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0DABB4E0" w14:textId="77777777" w:rsidTr="00262892">
        <w:tc>
          <w:tcPr>
            <w:tcW w:w="1129" w:type="dxa"/>
          </w:tcPr>
          <w:p w14:paraId="342EBA58" w14:textId="762BA3A4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Interfejsy do hostów</w:t>
            </w:r>
          </w:p>
        </w:tc>
        <w:tc>
          <w:tcPr>
            <w:tcW w:w="7933" w:type="dxa"/>
          </w:tcPr>
          <w:p w14:paraId="7FAF931D" w14:textId="22194805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posiadać co najmniej 8 portów Base-T 10Gb. Każdy kontroler powinien być wyposażony w min. 4 porty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2B6E08AC" w14:textId="77777777" w:rsidTr="00262892">
        <w:tc>
          <w:tcPr>
            <w:tcW w:w="1129" w:type="dxa"/>
          </w:tcPr>
          <w:p w14:paraId="0F46BA3D" w14:textId="46B923D4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Zarządzanie</w:t>
            </w:r>
          </w:p>
        </w:tc>
        <w:tc>
          <w:tcPr>
            <w:tcW w:w="7933" w:type="dxa"/>
          </w:tcPr>
          <w:p w14:paraId="276366DE" w14:textId="2CCB1422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Zarządzanie macierzą musi być możliwe z poziomu interfejsu graficznego i interfejsu znakowego. Zarządzanie macierzą musi odbywać się bezpośrednio na kontrolerach macierzy z poziomu przeglądarki internetowej.</w:t>
            </w:r>
            <w:r w:rsidR="00A53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Wymagana możliwość autentykacji poprzez LDAP oraz funkcjonalność role-based access control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209F011F" w14:textId="77777777" w:rsidTr="00262892">
        <w:tc>
          <w:tcPr>
            <w:tcW w:w="1129" w:type="dxa"/>
          </w:tcPr>
          <w:p w14:paraId="374F86E7" w14:textId="11BF458F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 się możliwości definiowania przynajmniej następujących poziomów dostępu do macierzy</w:t>
            </w:r>
          </w:p>
        </w:tc>
        <w:tc>
          <w:tcPr>
            <w:tcW w:w="7933" w:type="dxa"/>
          </w:tcPr>
          <w:p w14:paraId="00F70C49" w14:textId="0944163D" w:rsidR="00262892" w:rsidRPr="00FB059C" w:rsidRDefault="00262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    • administrator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– pełen dostęp,</w:t>
            </w: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    • monitor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– możliwość odczytu konfiguracji</w:t>
            </w:r>
          </w:p>
        </w:tc>
      </w:tr>
      <w:tr w:rsidR="00262892" w:rsidRPr="00262892" w14:paraId="57A662C5" w14:textId="77777777" w:rsidTr="00262892">
        <w:tc>
          <w:tcPr>
            <w:tcW w:w="1129" w:type="dxa"/>
          </w:tcPr>
          <w:p w14:paraId="0EFAC960" w14:textId="36A13983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Kreator konfiguracji</w:t>
            </w:r>
          </w:p>
        </w:tc>
        <w:tc>
          <w:tcPr>
            <w:tcW w:w="7933" w:type="dxa"/>
          </w:tcPr>
          <w:p w14:paraId="460C0EF3" w14:textId="1A80AAB5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 xml:space="preserve">System zarządzania powinien posiadać funkcjonalność kreatora konfiguracji uruchamianego w przypadku braku zdefiniowanych pul dyskowych i wolumenów, w przypadku braku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zdefiniowanych powiadomień oraz braku wykrycia jakichkolwiek zadań wykonywanych na macierzy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259FD28E" w14:textId="77777777" w:rsidTr="00262892">
        <w:tc>
          <w:tcPr>
            <w:tcW w:w="1129" w:type="dxa"/>
          </w:tcPr>
          <w:p w14:paraId="252803AC" w14:textId="0D3D8BD1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Zarządzanie grupami dyskowymi oraz dyskami logicznymi</w:t>
            </w:r>
          </w:p>
        </w:tc>
        <w:tc>
          <w:tcPr>
            <w:tcW w:w="7933" w:type="dxa"/>
          </w:tcPr>
          <w:p w14:paraId="0B21AABD" w14:textId="06FBEC5D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zdefiniowanie, co najmniej 500 wolumenów logicznych w ramach oferowanej macierzy dyskowej. Możliwość tworzenia wolumenów logicznych o pojemności maksymalnej co najmniej 140TB.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Musi istnieć możliwość rozłożenia pojedynczego wolumenu logicznego na wszystkie dyski fizyczne macierzy (tzw. wide-striping), bez konieczności łączenia wielu różnych dysków logicznych w jeden większy.</w:t>
            </w:r>
          </w:p>
        </w:tc>
      </w:tr>
      <w:tr w:rsidR="00262892" w:rsidRPr="00262892" w14:paraId="49F00878" w14:textId="77777777" w:rsidTr="00262892">
        <w:tc>
          <w:tcPr>
            <w:tcW w:w="1129" w:type="dxa"/>
          </w:tcPr>
          <w:p w14:paraId="7F5D4668" w14:textId="52C7C7D7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Szyfrowanie</w:t>
            </w:r>
          </w:p>
        </w:tc>
        <w:tc>
          <w:tcPr>
            <w:tcW w:w="7933" w:type="dxa"/>
          </w:tcPr>
          <w:p w14:paraId="38630628" w14:textId="09A76A0E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szyfrowanie zapisywanych na niej danych. Nie wymaga się tej funkcjonalności w chwili dostawy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5D7D5922" w14:textId="77777777" w:rsidTr="00262892">
        <w:tc>
          <w:tcPr>
            <w:tcW w:w="1129" w:type="dxa"/>
          </w:tcPr>
          <w:p w14:paraId="1881B891" w14:textId="1168840C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Thin Provisioning</w:t>
            </w:r>
          </w:p>
        </w:tc>
        <w:tc>
          <w:tcPr>
            <w:tcW w:w="7933" w:type="dxa"/>
          </w:tcPr>
          <w:p w14:paraId="7BFC693F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udostępnianie zasobów dyskowych do serwerów w trybie Thin Provisioning. Macierz musi umożliwiać odzyskiwanie przestrzeni dyskowych po usuniętych danych w ramach wolumenów typu Thin. Proces odzyskiwania danych musi być automatyczny bez konieczności uruchamiania dodatkowych procesów na kontrolerach macierzowych (wymagana obsługa standardu T10 SCSI UNMAP).</w:t>
            </w:r>
          </w:p>
          <w:p w14:paraId="43924567" w14:textId="723A2A8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262892" w:rsidRPr="00262892" w14:paraId="6310DBD9" w14:textId="77777777" w:rsidTr="00262892">
        <w:tc>
          <w:tcPr>
            <w:tcW w:w="1129" w:type="dxa"/>
          </w:tcPr>
          <w:p w14:paraId="2CD14997" w14:textId="5BBFE9D2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Wewnętrzne kopie migawkowe</w:t>
            </w:r>
          </w:p>
        </w:tc>
        <w:tc>
          <w:tcPr>
            <w:tcW w:w="7933" w:type="dxa"/>
          </w:tcPr>
          <w:p w14:paraId="74D09021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dokonywania na żądanie tzw. migawkowej kopii danych (snapshot, point-in-time) w ramach macierzy za pomocą wewnętrznych kontrolerów macierzowych. Kopia migawkowa wykonuje się bez alokowania dodatkowej przestrzeni dyskowej na potrzeby kopii. Zajmowanie dodatkowej przestrzeni dyskowej następuje w momencie zmiany danych na dysku źródłowym lub na jego kopii. </w:t>
            </w:r>
          </w:p>
          <w:p w14:paraId="003628A5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wspierać minimum 64 kopie migawkowe.</w:t>
            </w:r>
          </w:p>
          <w:p w14:paraId="7400F055" w14:textId="769C4C63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262892" w:rsidRPr="00262892" w14:paraId="5ABFA043" w14:textId="77777777" w:rsidTr="00262892">
        <w:tc>
          <w:tcPr>
            <w:tcW w:w="1129" w:type="dxa"/>
          </w:tcPr>
          <w:p w14:paraId="18CEEE20" w14:textId="31E1860D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Wewnętrzne kopie pełne</w:t>
            </w:r>
          </w:p>
        </w:tc>
        <w:tc>
          <w:tcPr>
            <w:tcW w:w="7933" w:type="dxa"/>
          </w:tcPr>
          <w:p w14:paraId="5A7A8DAC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dokonywanie na żądanie pełnej fizycznej kopii danych (clone) w ramach macierzy za pomocą wewnętrznych kontrolerów macierzowych. </w:t>
            </w:r>
          </w:p>
          <w:p w14:paraId="5591F061" w14:textId="175BF88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Jeżeli do obsługi powyższych funkcjonalności wymagane są dodatkowe licencje, należy je dostarczyć dla całej pojemności urządzenia.</w:t>
            </w:r>
          </w:p>
        </w:tc>
      </w:tr>
      <w:tr w:rsidR="00262892" w:rsidRPr="00262892" w14:paraId="34C5DEAE" w14:textId="77777777" w:rsidTr="00262892">
        <w:tc>
          <w:tcPr>
            <w:tcW w:w="1129" w:type="dxa"/>
          </w:tcPr>
          <w:p w14:paraId="0474212E" w14:textId="22FA73FB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Migracja danych w obrębie macierzy</w:t>
            </w:r>
          </w:p>
        </w:tc>
        <w:tc>
          <w:tcPr>
            <w:tcW w:w="7933" w:type="dxa"/>
          </w:tcPr>
          <w:p w14:paraId="76299855" w14:textId="1BFC5994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dyskowa musi umożliwiać migrację danych bez przerywania do nich dostępu pomiędzy różnymi warstwami technologii dyskowych na poziomie części wolumenów logicznych (ang. Sub-LUN). Zmiany te muszą się odbywać wewnętrznymi mechanizmami macierzy. Funkcjonalność musi umożliwiać zdefiniowanie zasobu LUN, który fizycznie będzie znajdował się na min. 2 typach dysków obsługiwanych przez macierz, a jego części będą realokowane na podstawie analizy ruchu w sposób automatyczny i transparentny (bez przerywania dostępu do danych) dla korzystających z tego wolumenu hostów. Zmiany te muszą się odbywać wewnętrznymi mechanizmami macierzy. Nie wymaga się tej funkcjonalności w chwili dostawy, jeżeli do jej wykorzystania wymagane są dodatkowe licencje.</w:t>
            </w:r>
          </w:p>
        </w:tc>
      </w:tr>
      <w:tr w:rsidR="00262892" w:rsidRPr="00262892" w14:paraId="27B0C063" w14:textId="77777777" w:rsidTr="00262892">
        <w:tc>
          <w:tcPr>
            <w:tcW w:w="1129" w:type="dxa"/>
          </w:tcPr>
          <w:p w14:paraId="25FC7EF9" w14:textId="47D32456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Zdalna replikacja danych</w:t>
            </w:r>
          </w:p>
        </w:tc>
        <w:tc>
          <w:tcPr>
            <w:tcW w:w="7933" w:type="dxa"/>
          </w:tcPr>
          <w:p w14:paraId="59BC5697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asynchroniczną replikację danych do innej macierzy z tej samej rodziny. Replikacja musi być wykonywana na poziomie kontrolerów, bez użycia dodatkowych serwerów lub innych urządzeń i bez obciążania serwerów podłączonych do macierzy. </w:t>
            </w:r>
          </w:p>
          <w:p w14:paraId="629FCE0D" w14:textId="552D8FB1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Nie wymaga się tej funkcjonalności w chwili dostawy, jeżeli do jej wykorzystania wymagane są dodatkowe licencje.</w:t>
            </w:r>
          </w:p>
        </w:tc>
      </w:tr>
      <w:tr w:rsidR="00262892" w:rsidRPr="00262892" w14:paraId="78F5991C" w14:textId="77777777" w:rsidTr="00262892">
        <w:tc>
          <w:tcPr>
            <w:tcW w:w="1129" w:type="dxa"/>
          </w:tcPr>
          <w:p w14:paraId="42D14C83" w14:textId="08D53144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Podłączanie zewnętrznych systemów operacyjnych</w:t>
            </w:r>
          </w:p>
        </w:tc>
        <w:tc>
          <w:tcPr>
            <w:tcW w:w="7933" w:type="dxa"/>
          </w:tcPr>
          <w:p w14:paraId="7271206B" w14:textId="496C3885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jednoczesne podłączenie wielu serwerów w trybie wysokiej dostępności (co najmniej dwoma ścieżkami). </w:t>
            </w:r>
          </w:p>
        </w:tc>
      </w:tr>
      <w:tr w:rsidR="00262892" w:rsidRPr="00262892" w14:paraId="7BCA596F" w14:textId="77777777" w:rsidTr="00262892">
        <w:tc>
          <w:tcPr>
            <w:tcW w:w="1129" w:type="dxa"/>
          </w:tcPr>
          <w:p w14:paraId="00FFCB46" w14:textId="2CF9CC7E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Macierz musi wspierać podłączenie następujących systemów operacyjnych: Windows, Linux, VMware</w:t>
            </w:r>
          </w:p>
        </w:tc>
        <w:tc>
          <w:tcPr>
            <w:tcW w:w="7933" w:type="dxa"/>
          </w:tcPr>
          <w:p w14:paraId="5F79B7B5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Dla wymienionych systemów operacyjnych należy dostarczyć oprogramowanie do przełączania ścieżek i równoważenia obciążenia poszczególnych ścieżek. Wymagane jest oprogramowanie dla nielimitowanej liczby serwerów. Dopuszcza się rozwiązania bazujące na natywnych możliwościach systemów operacyjnych.</w:t>
            </w:r>
          </w:p>
          <w:p w14:paraId="5B897C76" w14:textId="77777777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Jeżeli do obsługi powyższych funkcjonalności wymagane są dodatkowe licencje, należy je dostarczyć dla maksymalnej liczby serwerów obsługiwanych przez</w:t>
            </w: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oferowane urządzenie.</w:t>
            </w:r>
          </w:p>
          <w:p w14:paraId="7025F8E5" w14:textId="77777777" w:rsidR="00262892" w:rsidRPr="00FB059C" w:rsidRDefault="002628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892" w:rsidRPr="00262892" w14:paraId="15970A6B" w14:textId="77777777" w:rsidTr="00262892">
        <w:tc>
          <w:tcPr>
            <w:tcW w:w="1129" w:type="dxa"/>
          </w:tcPr>
          <w:p w14:paraId="1CD5E073" w14:textId="7975BB4E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Redundancja</w:t>
            </w:r>
          </w:p>
        </w:tc>
        <w:tc>
          <w:tcPr>
            <w:tcW w:w="7933" w:type="dxa"/>
          </w:tcPr>
          <w:p w14:paraId="6E6054B9" w14:textId="4C048D2E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 xml:space="preserve">Macierz nie może posiadać pojedynczego punktu awarii, który powodowałby brak dostępu do danych. Musi być zapewniona pełna redundancja komponentów, w szczególności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zdublowanie kontrolerów, zasilaczy i wentylatorów.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umożliwiać wymianę elementów systemu w trybie „hot-swap”, a w szczególności takich, jak: dyski, kontrolery, zasilacze, wentylatory.</w:t>
            </w:r>
          </w:p>
          <w:p w14:paraId="54106F9F" w14:textId="65A90E67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Macierz musi mieć możliwość zasilania z dwu niezależnych źródeł zasilania – odporność na zanik zasilania jednej fazy lub awarię jednego z zasilaczy macierzy.</w:t>
            </w: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62892" w:rsidRPr="00262892" w14:paraId="2193992C" w14:textId="77777777" w:rsidTr="00262892">
        <w:tc>
          <w:tcPr>
            <w:tcW w:w="1129" w:type="dxa"/>
          </w:tcPr>
          <w:p w14:paraId="5E7774AD" w14:textId="1B185D9F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Dodatkowe wymagania</w:t>
            </w:r>
          </w:p>
        </w:tc>
        <w:tc>
          <w:tcPr>
            <w:tcW w:w="7933" w:type="dxa"/>
          </w:tcPr>
          <w:p w14:paraId="27C3E777" w14:textId="2932C3F8" w:rsidR="00262892" w:rsidRPr="00FB059C" w:rsidRDefault="00262892" w:rsidP="002628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Oferowany system dyskowy musi się składać z pojedynczej macierzy dyskowej. Niedopuszczalna jest realizacja zamówienia poprzez dostarczenie wielu macierzy dyskowych. Za pojedynczą macierz nie uznaje się rozwiązania opartego o wiele macierzy dyskowych (par kontrolerów macierzowych) połączonych przełącznikami SAN lub tzw. wirtualizatorem sieci SAN czy wirtualizatorem macierzy dyskowych.</w:t>
            </w:r>
          </w:p>
        </w:tc>
      </w:tr>
      <w:tr w:rsidR="00262892" w:rsidRPr="00262892" w14:paraId="7BAF8B84" w14:textId="77777777" w:rsidTr="00262892">
        <w:tc>
          <w:tcPr>
            <w:tcW w:w="1129" w:type="dxa"/>
          </w:tcPr>
          <w:p w14:paraId="3667F7C4" w14:textId="37132658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7933" w:type="dxa"/>
          </w:tcPr>
          <w:p w14:paraId="23E57954" w14:textId="73910C1D" w:rsidR="00262892" w:rsidRPr="00AD7462" w:rsidRDefault="004C697F" w:rsidP="0026289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Min. </w:t>
            </w:r>
            <w:r w:rsidR="00EE438D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36</w:t>
            </w:r>
            <w:r w:rsidR="00262892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miesięczna gwarancja producenta w miejscu instalacji</w:t>
            </w:r>
            <w:r w:rsidR="00330356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z </w:t>
            </w:r>
            <w:bookmarkStart w:id="0" w:name="_Hlk219451179"/>
            <w:r w:rsidR="00330356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czasem reakcji </w:t>
            </w:r>
            <w:bookmarkStart w:id="1" w:name="_Hlk219451337"/>
            <w:r w:rsidR="00330356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w ciągu następnego dnia roboczego</w:t>
            </w:r>
            <w:bookmarkEnd w:id="0"/>
            <w:bookmarkEnd w:id="1"/>
            <w:r w:rsidR="00262892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.</w:t>
            </w:r>
            <w:r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Czas </w:t>
            </w:r>
            <w:r w:rsidR="00330356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napraw</w:t>
            </w:r>
            <w:r w:rsidR="00EE438D" w:rsidRPr="00AD746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y do 14 dni roboczych od podjęcia reakcji.</w:t>
            </w:r>
          </w:p>
          <w:p w14:paraId="356C48F5" w14:textId="77777777" w:rsidR="00262892" w:rsidRPr="00FB059C" w:rsidRDefault="00262892" w:rsidP="0026289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Uszkodzony dysk pozostaje u Zamawiającego.</w:t>
            </w: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Serwis realizowany przez polski oddział serwisu producenta.</w:t>
            </w:r>
          </w:p>
          <w:p w14:paraId="4D98D851" w14:textId="219A6674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okresie gwarancji Zamawiający ma prawo do otrzymywania poprawek oraz aktualizacji wersji oprogramowania dostarczonego wraz z macierzą oraz oprogramowania wewnętrznego macierzy.</w:t>
            </w:r>
          </w:p>
        </w:tc>
      </w:tr>
      <w:tr w:rsidR="00262892" w:rsidRPr="00262892" w14:paraId="7ECF9204" w14:textId="77777777" w:rsidTr="00262892">
        <w:tc>
          <w:tcPr>
            <w:tcW w:w="1129" w:type="dxa"/>
          </w:tcPr>
          <w:p w14:paraId="18883CF8" w14:textId="40FC2AFB" w:rsidR="00262892" w:rsidRPr="00FB059C" w:rsidRDefault="00262892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Patchcordy</w:t>
            </w:r>
          </w:p>
        </w:tc>
        <w:tc>
          <w:tcPr>
            <w:tcW w:w="7933" w:type="dxa"/>
          </w:tcPr>
          <w:p w14:paraId="3D97ACDE" w14:textId="3B592C3C" w:rsidR="00262892" w:rsidRPr="00FB059C" w:rsidRDefault="00262892" w:rsidP="00FB05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Dodatkowo należy dostarczyć okablowanie w postaci 8 sztuk patchcordów kategorii 7 o długości 3 metry każdy</w:t>
            </w:r>
            <w:r w:rsidR="00FB05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62892" w:rsidRPr="00262892" w14:paraId="3D476113" w14:textId="77777777" w:rsidTr="00262892">
        <w:tc>
          <w:tcPr>
            <w:tcW w:w="1129" w:type="dxa"/>
          </w:tcPr>
          <w:p w14:paraId="7C21ADB1" w14:textId="55EC9CF7" w:rsidR="00262892" w:rsidRPr="00FB059C" w:rsidRDefault="00FB059C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Wdrożenie</w:t>
            </w:r>
          </w:p>
        </w:tc>
        <w:tc>
          <w:tcPr>
            <w:tcW w:w="7933" w:type="dxa"/>
          </w:tcPr>
          <w:p w14:paraId="40A8642B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Specyfikacja wymagań wymaganych do prawidłowego   zainstalowania macierzy</w:t>
            </w:r>
          </w:p>
          <w:p w14:paraId="1717A130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Ustalenie z klientem harmonogramu prac</w:t>
            </w:r>
          </w:p>
          <w:p w14:paraId="008F6092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Montaż fizyczny macierzy dyskowej w szafie i podłączenie zasilania</w:t>
            </w:r>
          </w:p>
          <w:p w14:paraId="17786203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Podłączenie i konfiguracja interfejsów ETH w sieci zarządzającej LAN</w:t>
            </w:r>
          </w:p>
          <w:p w14:paraId="0054BD93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Aktualizacja oprogramowania firmware   do zalecanej przez producenta wersji</w:t>
            </w:r>
          </w:p>
          <w:p w14:paraId="4DF95D06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Rejestracja macierzy w serwisie producenta i   konfiguracja powiadomień.</w:t>
            </w:r>
          </w:p>
          <w:p w14:paraId="72727C3E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Podłączenie i konfiguracja   interfejsów iSCSI w sieci danych LAN</w:t>
            </w:r>
          </w:p>
          <w:p w14:paraId="2D154AE3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Konfiguracja woluminów dyskowych</w:t>
            </w:r>
          </w:p>
          <w:p w14:paraId="24E6C3C1" w14:textId="70A0BB5A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Prezentacja woluminów dyskowych do 2 serwerów (Windows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Server/Linux/Vmware)</w:t>
            </w:r>
          </w:p>
          <w:p w14:paraId="43F07C0F" w14:textId="77777777" w:rsidR="00FB059C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Testy poprawnego zapisu i odczytu danych.</w:t>
            </w:r>
          </w:p>
          <w:p w14:paraId="33116473" w14:textId="1580D00B" w:rsidR="00262892" w:rsidRPr="00FB059C" w:rsidRDefault="00FB059C" w:rsidP="00FB059C">
            <w:pPr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059C">
              <w:rPr>
                <w:rFonts w:ascii="Times New Roman" w:hAnsi="Times New Roman" w:cs="Times New Roman"/>
                <w:sz w:val="20"/>
                <w:szCs w:val="20"/>
              </w:rPr>
              <w:t>    Przygotowanie dokumentacji dotyczącej konfiguracji macierzy dyskowej.</w:t>
            </w:r>
          </w:p>
        </w:tc>
      </w:tr>
    </w:tbl>
    <w:p w14:paraId="58E62342" w14:textId="77777777" w:rsidR="00262892" w:rsidRDefault="00262892">
      <w:pPr>
        <w:rPr>
          <w:rFonts w:ascii="Times New Roman" w:hAnsi="Times New Roman" w:cs="Times New Roman"/>
          <w:sz w:val="20"/>
          <w:szCs w:val="20"/>
        </w:rPr>
      </w:pPr>
    </w:p>
    <w:p w14:paraId="41A9ED7F" w14:textId="407FB57C" w:rsidR="00FB059C" w:rsidRDefault="00FB059C" w:rsidP="00FB059C">
      <w:pPr>
        <w:jc w:val="both"/>
        <w:rPr>
          <w:rFonts w:ascii="Times New Roman" w:hAnsi="Times New Roman" w:cs="Times New Roman"/>
          <w:b/>
          <w:bCs/>
        </w:rPr>
      </w:pPr>
      <w:r w:rsidRPr="00FB059C">
        <w:rPr>
          <w:rFonts w:ascii="Times New Roman" w:hAnsi="Times New Roman" w:cs="Times New Roman"/>
          <w:b/>
          <w:bCs/>
        </w:rPr>
        <w:t>Usługi są realizowane w godzinach 8:00 -18:00 czasu lokalnego Klienta, chyba że poszczególne zadania wymagają okien serwisowych i zostanie to ustalone z klientem podczas tworzenia harmonogramu prac.</w:t>
      </w:r>
    </w:p>
    <w:p w14:paraId="0EE0ADA3" w14:textId="77777777" w:rsidR="00FB059C" w:rsidRPr="006D2052" w:rsidRDefault="00FB059C" w:rsidP="00FB0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="Times New Roman" w:hAnsi="Times New Roman" w:cs="Times New Roman"/>
          <w:b/>
          <w:bCs/>
        </w:rPr>
      </w:pPr>
      <w:r w:rsidRPr="006D2052">
        <w:rPr>
          <w:rFonts w:ascii="Times New Roman" w:hAnsi="Times New Roman" w:cs="Times New Roman"/>
          <w:b/>
          <w:bCs/>
        </w:rPr>
        <w:t>Część 2  - Zakup i dostawa zasilacza UPS o mocy 3000VA/3000W  wraz z dodatkowym modułem bateryjnym.</w:t>
      </w:r>
    </w:p>
    <w:p w14:paraId="284B6A73" w14:textId="77777777" w:rsidR="00FB059C" w:rsidRPr="00FB059C" w:rsidRDefault="00FB059C" w:rsidP="006D2052">
      <w:pPr>
        <w:spacing w:line="276" w:lineRule="auto"/>
        <w:jc w:val="both"/>
        <w:rPr>
          <w:rFonts w:ascii="Times New Roman" w:hAnsi="Times New Roman" w:cs="Times New Roman"/>
        </w:rPr>
      </w:pPr>
      <w:r w:rsidRPr="00FB059C">
        <w:rPr>
          <w:rFonts w:ascii="Times New Roman" w:hAnsi="Times New Roman" w:cs="Times New Roman"/>
        </w:rPr>
        <w:t xml:space="preserve">Zasilacz UPS o mocy 3000VA/3000W musi zapewnić czas podtrzymania minimum 3 minut dla obciążenia 3 kW. Zasilacz UPS wykonany w architekturze podwójnej konwersji on-line VFI z wyjściem EPO i automatycznym by-passem oraz funkcją zimnego startu. Uniwersalna obudowa Tower/Rack maksymalna wysokość 2U. Zasilacz UPS dostarczany wraz z dwoma modułami baterii, które wydłużą czas podtrzymania do minimum 33 minut dla 3 kW. Zasilacz UPS wyposażony w komplet kabli wraz z zatrzaskami kablowymi zabezpieczającymi przed przypadkowym odłączeniem przewodów oraz zestawem szyn do montażu w szafie Rack.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B059C" w14:paraId="75416BBF" w14:textId="77777777" w:rsidTr="00002EF6">
        <w:tc>
          <w:tcPr>
            <w:tcW w:w="2122" w:type="dxa"/>
            <w:shd w:val="clear" w:color="auto" w:fill="95DCF7" w:themeFill="accent4" w:themeFillTint="66"/>
          </w:tcPr>
          <w:p w14:paraId="380F3C47" w14:textId="4BB15107" w:rsidR="00FB059C" w:rsidRDefault="00FB059C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</w:p>
        </w:tc>
        <w:tc>
          <w:tcPr>
            <w:tcW w:w="6940" w:type="dxa"/>
            <w:shd w:val="clear" w:color="auto" w:fill="95DCF7" w:themeFill="accent4" w:themeFillTint="66"/>
          </w:tcPr>
          <w:p w14:paraId="3B884164" w14:textId="6269E612" w:rsidR="00FB059C" w:rsidRDefault="00FB059C" w:rsidP="00FB05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Minimalne wymagania</w:t>
            </w:r>
          </w:p>
        </w:tc>
      </w:tr>
      <w:tr w:rsidR="00FB059C" w14:paraId="6C5EEF3C" w14:textId="77777777" w:rsidTr="00002EF6">
        <w:tc>
          <w:tcPr>
            <w:tcW w:w="2122" w:type="dxa"/>
          </w:tcPr>
          <w:p w14:paraId="4CFE2717" w14:textId="77777777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wejściowe</w:t>
            </w:r>
          </w:p>
          <w:p w14:paraId="69CF7718" w14:textId="77777777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</w:tcPr>
          <w:p w14:paraId="75DE9897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Napięcie: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230 V (1-fazowe) 110 V–300 V; (160 V–300 V przy obciążeniu 100%)</w:t>
            </w:r>
          </w:p>
          <w:p w14:paraId="7790D05D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Częstotliwość 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40-70 Hz</w:t>
            </w:r>
          </w:p>
          <w:p w14:paraId="09967534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Współczynnik mocy/THDi 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&gt; 0,99 / &lt; 5 %</w:t>
            </w:r>
          </w:p>
          <w:p w14:paraId="6C1AF147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THDV: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&lt; 1% przy obciążeniu liniowym; &lt; 5% przy obciążeniu nieliniowym</w:t>
            </w:r>
          </w:p>
          <w:p w14:paraId="60A72322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- Zabezpieczenie przeciwprzepięciowe: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296 J</w:t>
            </w:r>
          </w:p>
          <w:p w14:paraId="06FBB063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Gniazdo wejściowe: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IEC 320-C20 (16A)</w:t>
            </w:r>
          </w:p>
          <w:p w14:paraId="5718C589" w14:textId="71D2873F" w:rsidR="00FB059C" w:rsidRPr="00002EF6" w:rsidRDefault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Współczynnik szczytu: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3:1</w:t>
            </w: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B059C" w14:paraId="53BE9F64" w14:textId="77777777" w:rsidTr="00002EF6">
        <w:tc>
          <w:tcPr>
            <w:tcW w:w="2122" w:type="dxa"/>
          </w:tcPr>
          <w:p w14:paraId="110CC22B" w14:textId="4007C4E5" w:rsidR="00FB059C" w:rsidRPr="00002EF6" w:rsidRDefault="00FB059C" w:rsidP="00002EF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wyjściowe</w:t>
            </w:r>
          </w:p>
        </w:tc>
        <w:tc>
          <w:tcPr>
            <w:tcW w:w="6940" w:type="dxa"/>
          </w:tcPr>
          <w:p w14:paraId="71EFF739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Napięcie (czysty przebieg sinusoidalny):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230 V (1-fazowe),</w:t>
            </w:r>
          </w:p>
          <w:p w14:paraId="1DEC2997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Częstotliwość: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50 /60 Hz; ± 0,1 Hz</w:t>
            </w:r>
          </w:p>
          <w:p w14:paraId="08043E48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Współczynnik mocy: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14:paraId="25D5FB04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Sprawność: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do 94,6% w trybie online, EcoMode do 97%</w:t>
            </w: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1D0B9E66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Przeciążalność: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do 105% w sposób ciągły; 125% przez 5 min; 150% przez 30 s;</w:t>
            </w: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181985B" w14:textId="7105426F" w:rsidR="00FB059C" w:rsidRPr="00002EF6" w:rsidRDefault="00FB059C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Gniazda wyjściowe: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1 grupa główna (1x IEC C19 + 4x IEC C13) oraz 1 grupa programowalna (4x IEC C13)</w:t>
            </w:r>
          </w:p>
        </w:tc>
      </w:tr>
      <w:tr w:rsidR="00FB059C" w14:paraId="253E89E6" w14:textId="77777777" w:rsidTr="00002EF6">
        <w:tc>
          <w:tcPr>
            <w:tcW w:w="2122" w:type="dxa"/>
          </w:tcPr>
          <w:p w14:paraId="475F84DE" w14:textId="77777777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BATERIA</w:t>
            </w:r>
          </w:p>
          <w:p w14:paraId="52F5B258" w14:textId="77777777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0" w:type="dxa"/>
          </w:tcPr>
          <w:p w14:paraId="7A2B2351" w14:textId="77777777" w:rsidR="00FB059C" w:rsidRPr="00002EF6" w:rsidRDefault="00FB059C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Baterie: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szczelnie zamknięta, bezobsługowa bateria kwasowo-ołowiowa – o projektowanej żywotności 3–5 lat wg klasyfikacji EUROBAT.</w:t>
            </w: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63F6C7AB" w14:textId="77777777" w:rsidR="00FB059C" w:rsidRPr="00002EF6" w:rsidRDefault="00FB059C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UPS posiada wewnątrz 1 łańcuch baterii zbudowany z 6 szt. akumulatorów 12V/9Ah.</w:t>
            </w:r>
          </w:p>
          <w:p w14:paraId="0D56E508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Prąd ładowania: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1,5 A</w:t>
            </w:r>
          </w:p>
          <w:p w14:paraId="599D2BB0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Czas ładowania: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3 godz. do 90%</w:t>
            </w:r>
          </w:p>
          <w:p w14:paraId="7DA1D939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Akumulatory wymieniane od przodu</w:t>
            </w:r>
          </w:p>
          <w:p w14:paraId="45175B30" w14:textId="77777777" w:rsidR="00FB059C" w:rsidRPr="00002EF6" w:rsidRDefault="00FB059C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Dodatkowy moduł baterii wyposażony w 2 łańcuchy baterii każdy zbudowany z 6 szt. akumulatorów 12V/9Ah</w:t>
            </w:r>
          </w:p>
          <w:p w14:paraId="2C122777" w14:textId="77777777" w:rsidR="00FB059C" w:rsidRPr="00002EF6" w:rsidRDefault="00FB059C" w:rsidP="00FB059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Możliwość dodania minimum 2 szt. dodatkowych modułów baterii, które wydłużą czas podtrzymania do 33 minut dla obciążenia 3 kW – wysokość zestawu max 6U. </w:t>
            </w:r>
          </w:p>
          <w:p w14:paraId="36C7ACD7" w14:textId="0E0AE3F4" w:rsidR="00FB059C" w:rsidRPr="00002EF6" w:rsidRDefault="00FB059C" w:rsidP="00002EF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Jeden moduł baterii wydłuża czas podtrzymania do minimum 17 minut dla 3 kW – wysokość zestawu max – 4U </w:t>
            </w:r>
          </w:p>
        </w:tc>
      </w:tr>
      <w:tr w:rsidR="00FB059C" w14:paraId="13A82675" w14:textId="77777777" w:rsidTr="00002EF6">
        <w:tc>
          <w:tcPr>
            <w:tcW w:w="2122" w:type="dxa"/>
          </w:tcPr>
          <w:p w14:paraId="6B3D1591" w14:textId="3C91B347" w:rsidR="00FB059C" w:rsidRPr="00002EF6" w:rsidRDefault="00FB059C" w:rsidP="00002EF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Urządzenie musi posiadać graficzny wyświetlacz LCD wskazujący</w:t>
            </w:r>
          </w:p>
        </w:tc>
        <w:tc>
          <w:tcPr>
            <w:tcW w:w="6940" w:type="dxa"/>
          </w:tcPr>
          <w:p w14:paraId="28079884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Stan UPS, </w:t>
            </w:r>
          </w:p>
          <w:p w14:paraId="4672B5D4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Wejście bypassu, </w:t>
            </w:r>
          </w:p>
          <w:p w14:paraId="39B6507F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Stan baterii, </w:t>
            </w:r>
          </w:p>
          <w:p w14:paraId="223AE0BF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Wejście sieci podstawowej, </w:t>
            </w:r>
          </w:p>
          <w:p w14:paraId="47CCB33D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Przycisk ESC, </w:t>
            </w:r>
          </w:p>
          <w:p w14:paraId="1304F950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Przycisk nawigacyjny </w:t>
            </w:r>
          </w:p>
          <w:p w14:paraId="40DD36D9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Przycisk WŁ./WYŁ. </w:t>
            </w:r>
          </w:p>
          <w:p w14:paraId="018DF2EF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Wyjście </w:t>
            </w:r>
          </w:p>
          <w:p w14:paraId="3DAD74F8" w14:textId="77777777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Poziom obciążenia, </w:t>
            </w:r>
          </w:p>
          <w:p w14:paraId="217153CA" w14:textId="23D06DA4" w:rsidR="00FB059C" w:rsidRPr="00002EF6" w:rsidRDefault="00FB059C" w:rsidP="00FB059C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Pasek wskaźników diodowych LED </w:t>
            </w:r>
          </w:p>
        </w:tc>
      </w:tr>
      <w:tr w:rsidR="00FB059C" w14:paraId="45E94CBE" w14:textId="77777777" w:rsidTr="00002EF6">
        <w:tc>
          <w:tcPr>
            <w:tcW w:w="2122" w:type="dxa"/>
          </w:tcPr>
          <w:p w14:paraId="34D80137" w14:textId="27A8AE3C" w:rsidR="00FB059C" w:rsidRPr="00002EF6" w:rsidRDefault="00FB059C" w:rsidP="00002EF6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Zasilacz UPS musi posiadać alarmy dźwiękowe sygnalizujące</w:t>
            </w:r>
          </w:p>
        </w:tc>
        <w:tc>
          <w:tcPr>
            <w:tcW w:w="6940" w:type="dxa"/>
          </w:tcPr>
          <w:p w14:paraId="4DAF367A" w14:textId="77777777" w:rsidR="00FB059C" w:rsidRPr="00002EF6" w:rsidRDefault="00FB059C" w:rsidP="00FB05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Odbiory zasilane z by-passu</w:t>
            </w:r>
          </w:p>
          <w:p w14:paraId="55C9C900" w14:textId="77777777" w:rsidR="00FB059C" w:rsidRPr="00002EF6" w:rsidRDefault="00FB059C" w:rsidP="00FB05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Odbiory zasilane z baterii</w:t>
            </w:r>
          </w:p>
          <w:p w14:paraId="3930E74F" w14:textId="77777777" w:rsidR="00FB059C" w:rsidRPr="00002EF6" w:rsidRDefault="00FB059C" w:rsidP="00FB05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Alarmy</w:t>
            </w:r>
          </w:p>
          <w:p w14:paraId="2426812A" w14:textId="77777777" w:rsidR="00FB059C" w:rsidRPr="00002EF6" w:rsidRDefault="00FB059C" w:rsidP="00FB059C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Ostrzeżenie przed przeciążeniem</w:t>
            </w:r>
          </w:p>
          <w:p w14:paraId="5DB362FC" w14:textId="63857DBE" w:rsidR="00FB059C" w:rsidRPr="00002EF6" w:rsidRDefault="00FB059C" w:rsidP="00002EF6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Wystąpiła usterka</w:t>
            </w:r>
          </w:p>
        </w:tc>
      </w:tr>
      <w:tr w:rsidR="00FB059C" w14:paraId="5D8EF252" w14:textId="77777777" w:rsidTr="00002EF6">
        <w:tc>
          <w:tcPr>
            <w:tcW w:w="2122" w:type="dxa"/>
          </w:tcPr>
          <w:p w14:paraId="2231DDC8" w14:textId="700F0687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Zasilacz UPS musi być zgodny z podanymi lub równoważnymi normami</w:t>
            </w:r>
          </w:p>
        </w:tc>
        <w:tc>
          <w:tcPr>
            <w:tcW w:w="6940" w:type="dxa"/>
          </w:tcPr>
          <w:p w14:paraId="05A1977F" w14:textId="77777777" w:rsidR="00FB059C" w:rsidRPr="00002EF6" w:rsidRDefault="00FB059C" w:rsidP="00FB059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 xml:space="preserve">Parametry i topologia: </w:t>
            </w:r>
            <w:r w:rsidRPr="00002EF6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IEC 62040-3 (VFI-SS-111)</w:t>
            </w:r>
          </w:p>
          <w:p w14:paraId="233DA440" w14:textId="77777777" w:rsidR="00FB059C" w:rsidRPr="00002EF6" w:rsidRDefault="00FB059C" w:rsidP="00FB059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Sprawność: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IEC/EN 62040-3 (sprawność testowana przez zewnętrzną, niezależną instytucję)</w:t>
            </w:r>
          </w:p>
          <w:p w14:paraId="0ED2FF2C" w14:textId="77777777" w:rsidR="00FB059C" w:rsidRPr="00002EF6" w:rsidRDefault="00FB059C" w:rsidP="00FB059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Bezpieczeństwo: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IEC/EN 62040-1, AS 62040.1.1, AS 62040.1.2</w:t>
            </w:r>
          </w:p>
          <w:p w14:paraId="4F93FF3E" w14:textId="77777777" w:rsidR="00FB059C" w:rsidRPr="00002EF6" w:rsidRDefault="00FB059C" w:rsidP="00FB059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EMC: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IEC/EN 62040-2, AS 62040.2</w:t>
            </w:r>
          </w:p>
          <w:p w14:paraId="7BB3D991" w14:textId="77777777" w:rsidR="00FB059C" w:rsidRPr="00002EF6" w:rsidRDefault="00FB059C" w:rsidP="00FB059C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Certyfikaty: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RoHS, CE</w:t>
            </w:r>
          </w:p>
          <w:p w14:paraId="6E160371" w14:textId="4264A2AC" w:rsidR="00FB059C" w:rsidRPr="00002EF6" w:rsidRDefault="00FB059C" w:rsidP="00002EF6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Stopień ochrony IP: </w:t>
            </w:r>
            <w:r w:rsidRPr="00002EF6">
              <w:rPr>
                <w:rFonts w:ascii="Times New Roman" w:hAnsi="Times New Roman" w:cs="Times New Roman"/>
                <w:sz w:val="20"/>
                <w:szCs w:val="20"/>
              </w:rPr>
              <w:t>min. IP20</w:t>
            </w:r>
          </w:p>
        </w:tc>
      </w:tr>
      <w:tr w:rsidR="00FB059C" w14:paraId="1B6936D4" w14:textId="77777777" w:rsidTr="00002EF6">
        <w:tc>
          <w:tcPr>
            <w:tcW w:w="2122" w:type="dxa"/>
          </w:tcPr>
          <w:p w14:paraId="4FF31FC3" w14:textId="2DAEC1EA" w:rsidR="00FB059C" w:rsidRPr="00002EF6" w:rsidRDefault="00FB059C" w:rsidP="00002E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Zasilacz UPS musi spełniać parametry środowiskowe co najmniej takie jak</w:t>
            </w:r>
          </w:p>
        </w:tc>
        <w:tc>
          <w:tcPr>
            <w:tcW w:w="6940" w:type="dxa"/>
          </w:tcPr>
          <w:p w14:paraId="32540DAE" w14:textId="77777777" w:rsidR="00FB059C" w:rsidRPr="00002EF6" w:rsidRDefault="00FB059C" w:rsidP="00FB059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Temperatura pracy od 0 °C do +40 °C </w:t>
            </w:r>
          </w:p>
          <w:p w14:paraId="5D9DA54D" w14:textId="77777777" w:rsidR="00FB059C" w:rsidRPr="00002EF6" w:rsidRDefault="00FB059C" w:rsidP="00FB059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Wilgotność: 0-95 % bez kondensacji</w:t>
            </w:r>
          </w:p>
          <w:p w14:paraId="03DB53B1" w14:textId="77777777" w:rsidR="00FB059C" w:rsidRPr="00002EF6" w:rsidRDefault="00FB059C" w:rsidP="00FB059C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2E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Poziom hałasu w odległości 1 m &lt; 50 dB</w:t>
            </w:r>
          </w:p>
          <w:p w14:paraId="3D164BDD" w14:textId="77777777" w:rsidR="00FB059C" w:rsidRPr="00002EF6" w:rsidRDefault="00FB05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951263" w14:textId="77777777" w:rsidR="00FB059C" w:rsidRPr="00002EF6" w:rsidRDefault="00FB059C" w:rsidP="00002EF6">
      <w:pPr>
        <w:spacing w:line="276" w:lineRule="auto"/>
        <w:rPr>
          <w:rFonts w:ascii="Times New Roman" w:hAnsi="Times New Roman" w:cs="Times New Roman"/>
          <w:b/>
          <w:bCs/>
        </w:rPr>
      </w:pPr>
      <w:r w:rsidRPr="00002EF6">
        <w:rPr>
          <w:rFonts w:ascii="Times New Roman" w:hAnsi="Times New Roman" w:cs="Times New Roman"/>
          <w:b/>
          <w:bCs/>
        </w:rPr>
        <w:t>Wymiary zasilacza UPS nie mogą być większe niż: 2U</w:t>
      </w:r>
    </w:p>
    <w:p w14:paraId="19EF2C52" w14:textId="77777777" w:rsidR="00FB059C" w:rsidRPr="00002EF6" w:rsidRDefault="00FB059C" w:rsidP="00002EF6">
      <w:pPr>
        <w:spacing w:line="276" w:lineRule="auto"/>
        <w:rPr>
          <w:rFonts w:ascii="Times New Roman" w:hAnsi="Times New Roman" w:cs="Times New Roman"/>
          <w:b/>
          <w:bCs/>
        </w:rPr>
      </w:pPr>
      <w:r w:rsidRPr="00002EF6">
        <w:rPr>
          <w:rFonts w:ascii="Times New Roman" w:hAnsi="Times New Roman" w:cs="Times New Roman"/>
          <w:b/>
          <w:bCs/>
        </w:rPr>
        <w:t xml:space="preserve">Wymiary modułu baterii nie mogą być większe niż: 2U </w:t>
      </w:r>
    </w:p>
    <w:p w14:paraId="078413CB" w14:textId="77777777" w:rsidR="00FB059C" w:rsidRPr="00002EF6" w:rsidRDefault="00FB059C" w:rsidP="00002EF6">
      <w:pPr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Zasilacz musi być wyposażony w kartę komunikacyjną posiadającą poniższe funkcje oraz parametry:</w:t>
      </w:r>
    </w:p>
    <w:p w14:paraId="70F80997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lastRenderedPageBreak/>
        <w:t>połączenie z siecią Ethernet 10/100 Mb/s oraz 1Gb/s (złącze RJ 45),</w:t>
      </w:r>
    </w:p>
    <w:p w14:paraId="7694E48E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monitorowanie zasilacza UPS za pomocą przeglądarki internetowej,</w:t>
      </w:r>
    </w:p>
    <w:p w14:paraId="491121C8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zdalne wyłączanie serwerów autonomicznych lub działających  środowisku wirtualnym</w:t>
      </w:r>
    </w:p>
    <w:p w14:paraId="3149DBC9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 xml:space="preserve">informacja o awariach wysyłana e-mailem </w:t>
      </w:r>
    </w:p>
    <w:p w14:paraId="79817799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zarządzanie zasilaczem UPS za pomocą protokołu SNMP,</w:t>
      </w:r>
    </w:p>
    <w:p w14:paraId="76D610A8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 xml:space="preserve">Modbus TCP wyposażony w port RS232 (do obsługi protokołu MODBUS), </w:t>
      </w:r>
    </w:p>
    <w:p w14:paraId="0D49E26A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Protokół HTTPS</w:t>
      </w:r>
    </w:p>
    <w:p w14:paraId="667FA6D7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Certyfikat cyberbezpieczeństwa ISO 27002</w:t>
      </w:r>
    </w:p>
    <w:p w14:paraId="4A3077FF" w14:textId="77777777" w:rsidR="00FB059C" w:rsidRPr="00002EF6" w:rsidRDefault="00FB059C" w:rsidP="006D2052">
      <w:pPr>
        <w:numPr>
          <w:ilvl w:val="1"/>
          <w:numId w:val="7"/>
        </w:numPr>
        <w:spacing w:after="0"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  <w:lang w:val="es-ES"/>
        </w:rPr>
        <w:t xml:space="preserve">Norma EN IEC 61000-3-3 oraz EN 55032 </w:t>
      </w:r>
    </w:p>
    <w:p w14:paraId="40784F13" w14:textId="77777777" w:rsidR="00FB059C" w:rsidRPr="00002EF6" w:rsidRDefault="00FB059C" w:rsidP="00002EF6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>Wymagana możliwość monitorowania stanów zasilacza UPS w czasie rzeczywistym za pomocą aplikacji mobilnej poszczególnych parametrów: poziom naładowania baterii, pozostały czas podtrzymania, temperatura pracy zasilacza UPS.</w:t>
      </w:r>
    </w:p>
    <w:p w14:paraId="627E52C8" w14:textId="77777777" w:rsidR="00FB059C" w:rsidRPr="00002EF6" w:rsidRDefault="00FB059C" w:rsidP="00002EF6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 xml:space="preserve">UPS musi mieć możliwość bezpośredniego zdalnego monitorowania przez pracowników obsługi technicznej producenta w celu diagnostyki i skrócenia czasu naprawy MTTR. </w:t>
      </w:r>
    </w:p>
    <w:p w14:paraId="233ABC6B" w14:textId="77777777" w:rsidR="00FB059C" w:rsidRPr="00002EF6" w:rsidRDefault="00FB059C" w:rsidP="00002EF6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 xml:space="preserve">Możliwość dodania ręcznego bypassu serwisowego z gniazdami IEC 5 x IEC 10A + 1 x IEC 16A o wysokości 1 U. Bypass musi być tego samego producenta co zasilacz UPS. </w:t>
      </w:r>
    </w:p>
    <w:p w14:paraId="1F5B0EB8" w14:textId="35ED456A" w:rsidR="00FB059C" w:rsidRPr="00002EF6" w:rsidRDefault="00FB059C" w:rsidP="00002EF6">
      <w:pPr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002EF6">
        <w:rPr>
          <w:rFonts w:ascii="Times New Roman" w:hAnsi="Times New Roman" w:cs="Times New Roman"/>
        </w:rPr>
        <w:t xml:space="preserve">Gwarancja minimum </w:t>
      </w:r>
      <w:r w:rsidR="00EE438D">
        <w:rPr>
          <w:rFonts w:ascii="Times New Roman" w:hAnsi="Times New Roman" w:cs="Times New Roman"/>
        </w:rPr>
        <w:t>36</w:t>
      </w:r>
      <w:r w:rsidRPr="00002EF6">
        <w:rPr>
          <w:rFonts w:ascii="Times New Roman" w:hAnsi="Times New Roman" w:cs="Times New Roman"/>
        </w:rPr>
        <w:t xml:space="preserve"> miesi</w:t>
      </w:r>
      <w:r w:rsidR="00AB2932">
        <w:rPr>
          <w:rFonts w:ascii="Times New Roman" w:hAnsi="Times New Roman" w:cs="Times New Roman"/>
        </w:rPr>
        <w:t>ęcy.</w:t>
      </w:r>
    </w:p>
    <w:p w14:paraId="18BBE188" w14:textId="77777777" w:rsidR="00FB059C" w:rsidRPr="00262892" w:rsidRDefault="00FB059C">
      <w:pPr>
        <w:rPr>
          <w:rFonts w:ascii="Times New Roman" w:hAnsi="Times New Roman" w:cs="Times New Roman"/>
          <w:sz w:val="20"/>
          <w:szCs w:val="20"/>
        </w:rPr>
      </w:pPr>
    </w:p>
    <w:sectPr w:rsidR="00FB059C" w:rsidRPr="002628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F5531" w14:textId="77777777" w:rsidR="00262892" w:rsidRDefault="00262892" w:rsidP="00262892">
      <w:pPr>
        <w:spacing w:after="0" w:line="240" w:lineRule="auto"/>
      </w:pPr>
      <w:r>
        <w:separator/>
      </w:r>
    </w:p>
  </w:endnote>
  <w:endnote w:type="continuationSeparator" w:id="0">
    <w:p w14:paraId="4EEEAF12" w14:textId="77777777" w:rsidR="00262892" w:rsidRDefault="00262892" w:rsidP="0026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3A4AC" w14:textId="77777777" w:rsidR="00262892" w:rsidRDefault="00262892" w:rsidP="00262892">
      <w:pPr>
        <w:spacing w:after="0" w:line="240" w:lineRule="auto"/>
      </w:pPr>
      <w:r>
        <w:separator/>
      </w:r>
    </w:p>
  </w:footnote>
  <w:footnote w:type="continuationSeparator" w:id="0">
    <w:p w14:paraId="2C98FDAF" w14:textId="77777777" w:rsidR="00262892" w:rsidRDefault="00262892" w:rsidP="00262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E48D" w14:textId="4BDE9E98" w:rsidR="00262892" w:rsidRDefault="00262892">
    <w:pPr>
      <w:pStyle w:val="Nagwek"/>
    </w:pPr>
    <w:r w:rsidRPr="009C0FAB">
      <w:rPr>
        <w:b/>
        <w:noProof/>
        <w:lang w:eastAsia="pl-PL"/>
      </w:rPr>
      <w:drawing>
        <wp:inline distT="0" distB="0" distL="0" distR="0" wp14:anchorId="36771BBD" wp14:editId="126FF86E">
          <wp:extent cx="5758815" cy="590214"/>
          <wp:effectExtent l="0" t="0" r="0" b="63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902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F7068"/>
    <w:multiLevelType w:val="multilevel"/>
    <w:tmpl w:val="465A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E23764"/>
    <w:multiLevelType w:val="multilevel"/>
    <w:tmpl w:val="8766C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285201"/>
    <w:multiLevelType w:val="multilevel"/>
    <w:tmpl w:val="852EB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AF4A17"/>
    <w:multiLevelType w:val="multilevel"/>
    <w:tmpl w:val="182E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47EDD"/>
    <w:multiLevelType w:val="multilevel"/>
    <w:tmpl w:val="6B14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237AD7"/>
    <w:multiLevelType w:val="multilevel"/>
    <w:tmpl w:val="A476E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30690A"/>
    <w:multiLevelType w:val="multilevel"/>
    <w:tmpl w:val="DC1CC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2044639">
    <w:abstractNumId w:val="4"/>
  </w:num>
  <w:num w:numId="2" w16cid:durableId="1534420405">
    <w:abstractNumId w:val="5"/>
  </w:num>
  <w:num w:numId="3" w16cid:durableId="1471363448">
    <w:abstractNumId w:val="0"/>
  </w:num>
  <w:num w:numId="4" w16cid:durableId="846560093">
    <w:abstractNumId w:val="3"/>
  </w:num>
  <w:num w:numId="5" w16cid:durableId="1293636757">
    <w:abstractNumId w:val="1"/>
  </w:num>
  <w:num w:numId="6" w16cid:durableId="1879145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5056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92"/>
    <w:rsid w:val="00002EF6"/>
    <w:rsid w:val="00262892"/>
    <w:rsid w:val="00330356"/>
    <w:rsid w:val="004151B3"/>
    <w:rsid w:val="004C697F"/>
    <w:rsid w:val="00561FC9"/>
    <w:rsid w:val="006D2052"/>
    <w:rsid w:val="00742C3A"/>
    <w:rsid w:val="00A5369A"/>
    <w:rsid w:val="00AB2932"/>
    <w:rsid w:val="00AD7462"/>
    <w:rsid w:val="00B17892"/>
    <w:rsid w:val="00D541BD"/>
    <w:rsid w:val="00E125D2"/>
    <w:rsid w:val="00EE438D"/>
    <w:rsid w:val="00FB059C"/>
    <w:rsid w:val="00FF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B905"/>
  <w15:chartTrackingRefBased/>
  <w15:docId w15:val="{DCF89BAC-2EB8-4C8E-8452-4ED8A4ED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892"/>
  </w:style>
  <w:style w:type="paragraph" w:styleId="Nagwek1">
    <w:name w:val="heading 1"/>
    <w:basedOn w:val="Normalny"/>
    <w:next w:val="Normalny"/>
    <w:link w:val="Nagwek1Znak"/>
    <w:uiPriority w:val="9"/>
    <w:qFormat/>
    <w:rsid w:val="002628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28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28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28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28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28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28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28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28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28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28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28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28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28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28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28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28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28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28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28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28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28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289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6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892"/>
  </w:style>
  <w:style w:type="paragraph" w:styleId="Stopka">
    <w:name w:val="footer"/>
    <w:basedOn w:val="Normalny"/>
    <w:link w:val="StopkaZnak"/>
    <w:uiPriority w:val="99"/>
    <w:unhideWhenUsed/>
    <w:rsid w:val="00262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892"/>
  </w:style>
  <w:style w:type="table" w:styleId="Tabela-Siatka">
    <w:name w:val="Table Grid"/>
    <w:basedOn w:val="Standardowy"/>
    <w:uiPriority w:val="39"/>
    <w:rsid w:val="00262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1988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</dc:creator>
  <cp:keywords/>
  <dc:description/>
  <cp:lastModifiedBy>Anna Grzyb</cp:lastModifiedBy>
  <cp:revision>8</cp:revision>
  <dcterms:created xsi:type="dcterms:W3CDTF">2026-01-16T08:24:00Z</dcterms:created>
  <dcterms:modified xsi:type="dcterms:W3CDTF">2026-01-21T07:24:00Z</dcterms:modified>
</cp:coreProperties>
</file>